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積　算　内　訳　書</w:t>
      </w:r>
    </w:p>
    <w:p>
      <w:pPr>
        <w:pStyle w:val="0"/>
        <w:ind w:right="1315" w:firstLine="220" w:firstLineChars="100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開札日　　令和４年６月１３日</w:t>
      </w: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</w:p>
    <w:p>
      <w:pPr>
        <w:pStyle w:val="0"/>
        <w:ind w:right="-6" w:firstLine="4400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住所又は所在地　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ind w:right="-6"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</w:rPr>
      </w:pPr>
    </w:p>
    <w:p>
      <w:pPr>
        <w:pStyle w:val="0"/>
        <w:ind w:right="-6" w:firstLine="220" w:firstLineChars="100"/>
        <w:jc w:val="left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</w:p>
    <w:p>
      <w:pPr>
        <w:pStyle w:val="0"/>
        <w:ind w:right="960" w:firstLine="221" w:firstLineChars="1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件名　参議院議員通常選挙開票所設備備品借上　</w:t>
      </w:r>
    </w:p>
    <w:p>
      <w:pPr>
        <w:pStyle w:val="0"/>
        <w:ind w:right="960" w:firstLine="220" w:firstLineChars="100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積算内訳　　　　　　　　　　　　　　　　　　　　　　　　　　　　　（消費税抜き）</w:t>
      </w:r>
    </w:p>
    <w:tbl>
      <w:tblPr>
        <w:tblStyle w:val="11"/>
        <w:tblW w:w="92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427"/>
        <w:gridCol w:w="1619"/>
        <w:gridCol w:w="971"/>
        <w:gridCol w:w="708"/>
        <w:gridCol w:w="2478"/>
      </w:tblGrid>
      <w:tr>
        <w:trPr>
          <w:trHeight w:val="49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費目等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単価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0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中テーブル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　　　　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２６１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</w:t>
            </w: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折りたたみ椅子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３７５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脚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大テーブル用布製黒クロス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１６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枚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扇風機（業務用）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床シート養生設営費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5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設営・撤収費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61" w:rightChars="0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アリーナ東口の床シート養生設営・撤収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7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</w:rPr>
            </w:pPr>
            <w:bookmarkStart w:id="0" w:name="_GoBack"/>
            <w:bookmarkEnd w:id="0"/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8"/>
              <w:rPr>
                <w:rFonts w:hint="default"/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8"/>
              <w:rPr>
                <w:rFonts w:hint="default"/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</w:p>
        </w:tc>
      </w:tr>
      <w:tr>
        <w:trPr>
          <w:trHeight w:val="455" w:hRule="atLeast"/>
        </w:trPr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9"/>
              <w:jc w:val="right"/>
              <w:rPr>
                <w:rFonts w:hint="default"/>
                <w:w w:val="200"/>
                <w:kern w:val="2"/>
                <w:sz w:val="22"/>
                <w:u w:val="single" w:color="auto"/>
              </w:rPr>
            </w:pPr>
            <w:r>
              <w:rPr>
                <w:rFonts w:hint="eastAsia"/>
                <w:kern w:val="2"/>
                <w:sz w:val="22"/>
              </w:rPr>
              <w:t>業務価格計＝入札書記載金額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02"/>
              <w:jc w:val="right"/>
              <w:rPr>
                <w:rFonts w:hint="default"/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>　　　　　　　　　　　　円</w:t>
            </w:r>
          </w:p>
        </w:tc>
      </w:tr>
    </w:tbl>
    <w:p>
      <w:pPr>
        <w:pStyle w:val="0"/>
        <w:ind w:right="96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※費目等で該当項目がない場合には、自由に増やして記入してください。</w:t>
      </w:r>
    </w:p>
    <w:sectPr>
      <w:headerReference r:id="rId6" w:type="even"/>
      <w:headerReference r:id="rId5" w:type="first"/>
      <w:pgSz w:w="11907" w:h="16840"/>
      <w:pgMar w:top="1418" w:right="1418" w:bottom="1134" w:left="1474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215</Characters>
  <Application>JUST Note</Application>
  <Lines>98</Lines>
  <Paragraphs>35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久保田律子</cp:lastModifiedBy>
  <cp:lastPrinted>2013-06-27T08:41:00Z</cp:lastPrinted>
  <dcterms:created xsi:type="dcterms:W3CDTF">2021-03-04T00:10:00Z</dcterms:created>
  <dcterms:modified xsi:type="dcterms:W3CDTF">2021-08-13T07:14:58Z</dcterms:modified>
  <cp:revision>4</cp:revision>
</cp:coreProperties>
</file>