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令和４年６月２８日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件名：公用車　普通乗用自動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2"/>
        </w:rPr>
        <w:t>車（電気自動車）購入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3528"/>
        <w:gridCol w:w="2340"/>
        <w:gridCol w:w="720"/>
        <w:gridCol w:w="2895"/>
      </w:tblGrid>
      <w:tr>
        <w:trPr>
          <w:trHeight w:val="285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3528" w:type="dxa"/>
          <w:trHeight w:val="812" w:hRule="atLeast"/>
        </w:trPr>
        <w:tc>
          <w:tcPr>
            <w:tcW w:w="3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法定費用（仕様書参照）を除く一切の諸経費については、車両本体価格に含むこと。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</Words>
  <Characters>196</Characters>
  <Application>JUST Note</Application>
  <Lines>69</Lines>
  <Paragraphs>26</Paragraphs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2022-06-02T04:44:12Z</cp:lastPrinted>
  <dcterms:created xsi:type="dcterms:W3CDTF">2019-07-29T00:55:00Z</dcterms:created>
  <dcterms:modified xsi:type="dcterms:W3CDTF">2022-05-27T02:28:54Z</dcterms:modified>
  <cp:revision>3</cp:revision>
</cp:coreProperties>
</file>