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令和４年７月１９日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32"/>
        </w:rPr>
        <w:t>件名：公用車（軽貨物自動車）購入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3528"/>
        <w:gridCol w:w="2340"/>
        <w:gridCol w:w="720"/>
        <w:gridCol w:w="2895"/>
      </w:tblGrid>
      <w:tr>
        <w:trPr>
          <w:trHeight w:val="285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35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  <w:bookmarkStart w:id="0" w:name="_GoBack"/>
            <w:bookmarkEnd w:id="0"/>
          </w:p>
        </w:tc>
        <w:tc>
          <w:tcPr>
            <w:tcW w:w="28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3528" w:type="dxa"/>
          <w:trHeight w:val="812" w:hRule="atLeast"/>
        </w:trPr>
        <w:tc>
          <w:tcPr>
            <w:tcW w:w="3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法定費用（仕様書参照）を除く一切の諸経費については、車両本体価格に含むこと。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4</Words>
  <Characters>190</Characters>
  <Application>JUST Note</Application>
  <Lines>67</Lines>
  <Paragraphs>26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2022-05-27T01:57:58Z</dcterms:modified>
  <cp:revision>3</cp:revision>
</cp:coreProperties>
</file>