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A42E72" w:rsidRDefault="00721D72" w:rsidP="001800A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336927" w:rsidRPr="00A42E72">
        <w:rPr>
          <w:rFonts w:asciiTheme="majorEastAsia" w:eastAsiaTheme="majorEastAsia" w:hAnsiTheme="majorEastAsia" w:hint="eastAsia"/>
          <w:sz w:val="24"/>
          <w:szCs w:val="24"/>
        </w:rPr>
        <w:t>公用車乗用自動車（</w:t>
      </w:r>
      <w:r w:rsidR="00A42E72" w:rsidRPr="00A42E72">
        <w:rPr>
          <w:rFonts w:asciiTheme="majorEastAsia" w:eastAsiaTheme="majorEastAsia" w:hAnsiTheme="majorEastAsia" w:hint="eastAsia"/>
          <w:sz w:val="24"/>
          <w:szCs w:val="24"/>
        </w:rPr>
        <w:t>ミニバン・</w:t>
      </w:r>
      <w:r w:rsidR="00336927" w:rsidRPr="00A42E72">
        <w:rPr>
          <w:rFonts w:asciiTheme="majorEastAsia" w:eastAsiaTheme="majorEastAsia" w:hAnsiTheme="majorEastAsia" w:hint="eastAsia"/>
          <w:sz w:val="24"/>
          <w:szCs w:val="24"/>
        </w:rPr>
        <w:t>ハイブリッド自動車）購入</w:t>
      </w:r>
      <w:r w:rsidR="00A42E72">
        <w:rPr>
          <w:rFonts w:asciiTheme="majorEastAsia" w:eastAsiaTheme="majorEastAsia" w:hAnsiTheme="majorEastAsia" w:hint="eastAsia"/>
          <w:sz w:val="24"/>
          <w:szCs w:val="24"/>
        </w:rPr>
        <w:t>（さのまる移動用）</w:t>
      </w:r>
      <w:bookmarkStart w:id="0" w:name="_GoBack"/>
      <w:bookmarkEnd w:id="0"/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DF13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DF133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1800AB"/>
    <w:rsid w:val="00290B60"/>
    <w:rsid w:val="00336927"/>
    <w:rsid w:val="00382F67"/>
    <w:rsid w:val="00392A35"/>
    <w:rsid w:val="004F6D28"/>
    <w:rsid w:val="00721D72"/>
    <w:rsid w:val="00A42E72"/>
    <w:rsid w:val="00DF1338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14</cp:revision>
  <cp:lastPrinted>2019-07-29T00:53:00Z</cp:lastPrinted>
  <dcterms:created xsi:type="dcterms:W3CDTF">2019-07-29T00:55:00Z</dcterms:created>
  <dcterms:modified xsi:type="dcterms:W3CDTF">2023-06-06T05:40:00Z</dcterms:modified>
</cp:coreProperties>
</file>