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2" w:type="dxa"/>
        <w:tblInd w:w="66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2"/>
      </w:tblGrid>
      <w:tr>
        <w:trPr>
          <w:trHeight w:val="400" w:hRule="atLeast"/>
        </w:trPr>
        <w:tc>
          <w:tcPr>
            <w:tcW w:w="33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73" w:hRule="atLeast"/>
        </w:trPr>
        <w:tc>
          <w:tcPr>
            <w:tcW w:w="334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様式第５－（ロ）－②</w:t>
      </w:r>
    </w:p>
    <w:tbl>
      <w:tblPr>
        <w:tblStyle w:val="11"/>
        <w:tblW w:w="1003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中小企業信用保険法第２条第５項第５号の規定による認定申請書（ロ－②）</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佐野市長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ind w:firstLine="4620" w:firstLineChars="2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主たる業種に係る上昇率</w:t>
            </w:r>
            <w:r>
              <w:rPr>
                <w:rFonts w:hint="default" w:ascii="ＭＳ ゴシック" w:hAnsi="ＭＳ ゴシック" w:eastAsia="ＭＳ ゴシック"/>
                <w:color w:val="000000"/>
                <w:kern w:val="0"/>
                <w:u w:val="single" w:color="auto"/>
              </w:rPr>
              <w:softHyphen/>
            </w:r>
            <w:r>
              <w:rPr>
                <w:rFonts w:hint="default" w:ascii="ＭＳ ゴシック" w:hAnsi="ＭＳ ゴシック" w:eastAsia="ＭＳ ゴシック"/>
                <w:color w:val="000000"/>
                <w:kern w:val="0"/>
                <w:u w:val="single" w:color="auto"/>
              </w:rPr>
              <w:softHyphen/>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全体に係る上昇率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line="240" w:lineRule="exact"/>
              <w:ind w:firstLine="5324" w:firstLineChars="22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line="240" w:lineRule="exact"/>
              <w:ind w:firstLine="5808" w:firstLineChars="24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主たる業種に係る依存率</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全体に係る依存率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主たる業種に係る売上原価</w:t>
            </w:r>
            <w:r>
              <w:rPr>
                <w:rFonts w:hint="eastAsia" w:ascii="ＭＳ ゴシック" w:hAnsi="ＭＳ ゴシック" w:eastAsia="ＭＳ ゴシック"/>
                <w:color w:val="000000"/>
                <w:kern w:val="0"/>
                <w:u w:val="single" w:color="000000"/>
              </w:rPr>
              <w:t>　　　　　　　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全体にかかる売上原価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主たる業種に係る仕入れ価格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全体に係る仕入れ価格</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w:t>
            </w:r>
          </w:p>
          <w:p>
            <w:pPr>
              <w:pStyle w:val="0"/>
              <w:tabs>
                <w:tab w:val="center" w:leader="none" w:pos="4252"/>
                <w:tab w:val="right" w:leader="none" w:pos="8504"/>
              </w:tabs>
              <w:suppressAutoHyphens w:val="1"/>
              <w:kinsoku w:val="0"/>
              <w:overflowPunct w:val="0"/>
              <w:autoSpaceDE w:val="0"/>
              <w:autoSpaceDN w:val="0"/>
              <w:adjustRightInd w:val="0"/>
              <w:snapToGrid w:val="0"/>
              <w:spacing w:line="230" w:lineRule="exac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主たる業種に係る転嫁の状況　Ｐ＝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全体に係る転嫁の状況</w:t>
            </w:r>
            <w:r>
              <w:rPr>
                <w:rFonts w:hint="eastAsia" w:ascii="ＭＳ ゴシック" w:hAnsi="ＭＳ ゴシック" w:eastAsia="ＭＳ ゴシック"/>
                <w:color w:val="000000"/>
                <w:kern w:val="0"/>
                <w:u w:val="single" w:color="000000"/>
              </w:rPr>
              <w:t>　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主たる業種に係る売上高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ｂ：Ｂの期間に対応する前年３か月間の売上高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主たる業種に係る売上高</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spacing w:line="300" w:lineRule="exact"/>
        <w:ind w:left="540" w:hanging="540" w:hangingChars="25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15"/>
        <w:spacing w:line="300" w:lineRule="exact"/>
        <w:rPr>
          <w:rFonts w:hint="default"/>
          <w:spacing w:val="0"/>
          <w:u w:val="single" w:color="auto"/>
        </w:rPr>
      </w:pPr>
      <w:r>
        <w:rPr>
          <w:rFonts w:hint="eastAsia" w:ascii="ＭＳ 明朝" w:hAnsi="ＭＳ 明朝"/>
          <w:spacing w:val="0"/>
          <w:u w:val="single" w:color="auto"/>
        </w:rPr>
        <w:t>　</w:t>
      </w:r>
      <w:r>
        <w:rPr>
          <w:rFonts w:hint="eastAsia" w:asciiTheme="minorEastAsia" w:hAnsiTheme="minorEastAsia" w:eastAsiaTheme="minorEastAsia"/>
          <w:spacing w:val="0"/>
          <w:u w:val="single" w:color="auto"/>
        </w:rPr>
        <w:t>　　　　　　　　　　　　　　　　　　　　　　　　　　　　　　　　　　　　　　　　　　　</w:t>
      </w:r>
    </w:p>
    <w:p>
      <w:pPr>
        <w:pStyle w:val="15"/>
        <w:spacing w:line="360" w:lineRule="auto"/>
        <w:rPr>
          <w:rFonts w:hint="default"/>
          <w:spacing w:val="0"/>
        </w:rPr>
      </w:pPr>
      <w:r>
        <w:rPr>
          <w:rFonts w:hint="eastAsia" w:asciiTheme="minorEastAsia" w:hAnsiTheme="minorEastAsia" w:eastAsiaTheme="minorEastAsia"/>
          <w:spacing w:val="0"/>
        </w:rPr>
        <w:t>　</w:t>
      </w:r>
      <w:r>
        <w:rPr>
          <w:rFonts w:hint="eastAsia" w:ascii="ＭＳ 明朝" w:hAnsi="ＭＳ 明朝"/>
          <w:spacing w:val="0"/>
        </w:rPr>
        <w:t>第　　　　号</w:t>
      </w:r>
    </w:p>
    <w:p>
      <w:pPr>
        <w:pStyle w:val="15"/>
        <w:spacing w:line="300" w:lineRule="exact"/>
        <w:rPr>
          <w:rFonts w:hint="default"/>
          <w:spacing w:val="0"/>
        </w:rPr>
      </w:pPr>
      <w:r>
        <w:rPr>
          <w:rFonts w:hint="eastAsia" w:ascii="ＭＳ 明朝" w:hAnsi="ＭＳ 明朝"/>
        </w:rPr>
        <w:t>令和　　年　　月　　日</w:t>
      </w:r>
    </w:p>
    <w:p>
      <w:pPr>
        <w:pStyle w:val="15"/>
        <w:spacing w:line="300" w:lineRule="exact"/>
        <w:rPr>
          <w:rFonts w:hint="default"/>
          <w:spacing w:val="0"/>
        </w:rPr>
      </w:pPr>
      <w:r>
        <w:rPr>
          <w:rFonts w:hint="eastAsia" w:ascii="ＭＳ 明朝" w:hAnsi="ＭＳ 明朝"/>
        </w:rPr>
        <w:t>申請のとおり、相違ないことを認定します。</w:t>
      </w:r>
    </w:p>
    <w:p>
      <w:pPr>
        <w:pStyle w:val="15"/>
        <w:spacing w:line="360" w:lineRule="auto"/>
        <w:rPr>
          <w:rFonts w:hint="default"/>
          <w:spacing w:val="0"/>
        </w:rPr>
      </w:pPr>
      <w:r>
        <w:rPr>
          <w:rFonts w:hint="default" w:eastAsia="Times New Roman"/>
          <w:spacing w:val="6"/>
        </w:rPr>
        <w:t xml:space="preserve"> </w:t>
      </w:r>
      <w:r>
        <w:rPr>
          <w:rFonts w:hint="eastAsia" w:ascii="ＭＳ 明朝" w:hAnsi="ＭＳ 明朝"/>
        </w:rPr>
        <w:t>本認定書の有効期間：令和　</w:t>
      </w:r>
      <w:r>
        <w:rPr>
          <w:rFonts w:hint="eastAsia" w:ascii="ＭＳ 明朝" w:hAnsi="ＭＳ 明朝"/>
          <w:spacing w:val="6"/>
        </w:rPr>
        <w:t>　</w:t>
      </w:r>
      <w:r>
        <w:rPr>
          <w:rFonts w:hint="eastAsia" w:ascii="ＭＳ 明朝" w:hAnsi="ＭＳ 明朝"/>
        </w:rPr>
        <w:t>年　</w:t>
      </w:r>
      <w:r>
        <w:rPr>
          <w:rFonts w:hint="eastAsia" w:ascii="ＭＳ 明朝" w:hAnsi="ＭＳ 明朝"/>
          <w:spacing w:val="6"/>
        </w:rPr>
        <w:t>　</w:t>
      </w:r>
      <w:r>
        <w:rPr>
          <w:rFonts w:hint="eastAsia" w:ascii="ＭＳ 明朝" w:hAnsi="ＭＳ 明朝"/>
        </w:rPr>
        <w:t>月　</w:t>
      </w:r>
      <w:r>
        <w:rPr>
          <w:rFonts w:hint="eastAsia" w:ascii="ＭＳ 明朝" w:hAnsi="ＭＳ 明朝"/>
          <w:spacing w:val="6"/>
        </w:rPr>
        <w:t>　</w:t>
      </w:r>
      <w:r>
        <w:rPr>
          <w:rFonts w:hint="eastAsia" w:ascii="ＭＳ 明朝" w:hAnsi="ＭＳ 明朝"/>
        </w:rPr>
        <w:t>日から令和　</w:t>
      </w:r>
      <w:r>
        <w:rPr>
          <w:rFonts w:hint="eastAsia" w:ascii="ＭＳ 明朝" w:hAnsi="ＭＳ 明朝"/>
          <w:spacing w:val="6"/>
        </w:rPr>
        <w:t>　</w:t>
      </w:r>
      <w:r>
        <w:rPr>
          <w:rFonts w:hint="eastAsia" w:ascii="ＭＳ 明朝" w:hAnsi="ＭＳ 明朝"/>
        </w:rPr>
        <w:t>年　</w:t>
      </w:r>
      <w:r>
        <w:rPr>
          <w:rFonts w:hint="eastAsia" w:ascii="ＭＳ 明朝" w:hAnsi="ＭＳ 明朝"/>
          <w:spacing w:val="6"/>
        </w:rPr>
        <w:t>　</w:t>
      </w:r>
      <w:r>
        <w:rPr>
          <w:rFonts w:hint="eastAsia" w:ascii="ＭＳ 明朝" w:hAnsi="ＭＳ 明朝"/>
        </w:rPr>
        <w:t>月　</w:t>
      </w:r>
      <w:r>
        <w:rPr>
          <w:rFonts w:hint="eastAsia" w:ascii="ＭＳ 明朝" w:hAnsi="ＭＳ 明朝"/>
          <w:spacing w:val="6"/>
        </w:rPr>
        <w:t>　</w:t>
      </w:r>
      <w:r>
        <w:rPr>
          <w:rFonts w:hint="eastAsia" w:ascii="ＭＳ 明朝" w:hAnsi="ＭＳ 明朝"/>
        </w:rPr>
        <w:t>日まで</w:t>
      </w:r>
      <w:bookmarkStart w:id="0" w:name="_GoBack"/>
      <w:bookmarkEnd w:id="0"/>
    </w:p>
    <w:p>
      <w:pPr>
        <w:pStyle w:val="15"/>
        <w:spacing w:line="300" w:lineRule="exact"/>
        <w:rPr>
          <w:rFonts w:hint="default"/>
          <w:spacing w:val="0"/>
        </w:rPr>
      </w:pPr>
    </w:p>
    <w:p>
      <w:pPr>
        <w:pStyle w:val="15"/>
        <w:spacing w:line="300" w:lineRule="exact"/>
        <w:rPr>
          <w:rFonts w:hint="default" w:ascii="ＭＳ 明朝" w:hAnsi="ＭＳ 明朝"/>
        </w:rPr>
      </w:pPr>
      <w:r>
        <w:rPr>
          <w:rFonts w:hint="eastAsia" w:ascii="ＭＳ 明朝" w:hAnsi="ＭＳ 明朝"/>
        </w:rPr>
        <w:t>　　　　　　　　　　　　　　　　　　　　　　佐野市長　</w:t>
      </w:r>
    </w:p>
    <w:p>
      <w:pPr>
        <w:pStyle w:val="0"/>
        <w:widowControl w:val="1"/>
        <w:spacing w:line="300" w:lineRule="exact"/>
        <w:ind w:left="540" w:hanging="540" w:hangingChars="257"/>
        <w:jc w:val="right"/>
        <w:rPr>
          <w:rFonts w:hint="default" w:ascii="ＭＳ ゴシック" w:hAnsi="ＭＳ ゴシック" w:eastAsia="ＭＳ ゴシック"/>
          <w:color w:val="000000"/>
          <w:kern w:val="0"/>
          <w:sz w:val="24"/>
        </w:rPr>
      </w:pPr>
      <w:r>
        <w:rPr>
          <w:rFonts w:hint="default" w:ascii="ＭＳ ゴシック" w:hAnsi="ＭＳ ゴシック" w:eastAsia="ＭＳ ゴシック"/>
          <w:color w:val="000000"/>
          <w:kern w:val="0"/>
        </w:rPr>
        <w:br w:type="page"/>
      </w:r>
      <w:r>
        <w:rPr>
          <w:rFonts w:hint="eastAsia" w:ascii="ＭＳ ゴシック" w:hAnsi="ＭＳ ゴシック" w:eastAsia="ＭＳ ゴシック"/>
          <w:color w:val="000000"/>
          <w:kern w:val="0"/>
          <w:sz w:val="24"/>
        </w:rPr>
        <w:t>（申請書ロ－②の添付書類）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申請者名：　　　　　　　　　　　　　　　</w:t>
      </w:r>
      <w:r>
        <w:rPr>
          <w:rFonts w:hint="eastAsia" w:ascii="ＭＳ ゴシック" w:hAnsi="ＭＳ ゴシック" w:eastAsia="ＭＳ ゴシック"/>
          <w:sz w:val="24"/>
        </w:rPr>
        <w:t>印</w:t>
      </w: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（表１：事業が属する業種毎の最近１年間の売上高）</w:t>
      </w:r>
    </w:p>
    <w:p>
      <w:pPr>
        <w:pStyle w:val="0"/>
        <w:widowControl w:val="1"/>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当社の主たる事業が属する業種は＿＿＿＿＿＿＿＿＿＿＿</w:t>
      </w:r>
    </w:p>
    <w:tbl>
      <w:tblPr>
        <w:tblStyle w:val="25"/>
        <w:tblW w:w="9736" w:type="dxa"/>
        <w:tblInd w:w="0" w:type="dxa"/>
        <w:tblLayout w:type="fixed"/>
        <w:tblLook w:firstRow="1" w:lastRow="0" w:firstColumn="1" w:lastColumn="0" w:noHBand="0" w:noVBand="1" w:val="04A0"/>
      </w:tblPr>
      <w:tblGrid>
        <w:gridCol w:w="3245"/>
        <w:gridCol w:w="3245"/>
        <w:gridCol w:w="3246"/>
      </w:tblGrid>
      <w:tr>
        <w:trPr/>
        <w:tc>
          <w:tcPr>
            <w:tcW w:w="3256" w:type="dxa"/>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業種</w:t>
            </w:r>
          </w:p>
        </w:tc>
        <w:tc>
          <w:tcPr>
            <w:tcW w:w="3256" w:type="dxa"/>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最近１年間の売上高</w:t>
            </w:r>
          </w:p>
        </w:tc>
        <w:tc>
          <w:tcPr>
            <w:tcW w:w="3256" w:type="dxa"/>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構成比</w:t>
            </w:r>
          </w:p>
        </w:tc>
      </w:tr>
      <w:tr>
        <w:trPr/>
        <w:tc>
          <w:tcPr>
            <w:tcW w:w="3256" w:type="dxa"/>
            <w:vAlign w:val="top"/>
          </w:tcPr>
          <w:p>
            <w:pPr>
              <w:pStyle w:val="0"/>
              <w:widowControl w:val="1"/>
              <w:jc w:val="left"/>
              <w:rPr>
                <w:rFonts w:hint="default" w:ascii="ＭＳ ゴシック" w:hAnsi="ＭＳ ゴシック" w:eastAsia="ＭＳ ゴシック"/>
                <w:sz w:val="24"/>
              </w:rPr>
            </w:pPr>
          </w:p>
        </w:tc>
        <w:tc>
          <w:tcPr>
            <w:tcW w:w="3256" w:type="dxa"/>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vAlign w:val="top"/>
          </w:tcPr>
          <w:p>
            <w:pPr>
              <w:pStyle w:val="0"/>
              <w:widowControl w:val="1"/>
              <w:jc w:val="left"/>
              <w:rPr>
                <w:rFonts w:hint="default" w:ascii="ＭＳ ゴシック" w:hAnsi="ＭＳ ゴシック" w:eastAsia="ＭＳ ゴシック"/>
                <w:sz w:val="24"/>
              </w:rPr>
            </w:pPr>
          </w:p>
        </w:tc>
        <w:tc>
          <w:tcPr>
            <w:tcW w:w="3256" w:type="dxa"/>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vAlign w:val="top"/>
          </w:tcPr>
          <w:p>
            <w:pPr>
              <w:pStyle w:val="0"/>
              <w:widowControl w:val="1"/>
              <w:jc w:val="left"/>
              <w:rPr>
                <w:rFonts w:hint="default" w:ascii="ＭＳ ゴシック" w:hAnsi="ＭＳ ゴシック" w:eastAsia="ＭＳ ゴシック"/>
                <w:sz w:val="24"/>
              </w:rPr>
            </w:pPr>
          </w:p>
        </w:tc>
        <w:tc>
          <w:tcPr>
            <w:tcW w:w="3256" w:type="dxa"/>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vAlign w:val="top"/>
          </w:tcPr>
          <w:p>
            <w:pPr>
              <w:pStyle w:val="0"/>
              <w:widowControl w:val="1"/>
              <w:jc w:val="left"/>
              <w:rPr>
                <w:rFonts w:hint="default" w:ascii="ＭＳ ゴシック" w:hAnsi="ＭＳ ゴシック" w:eastAsia="ＭＳ ゴシック"/>
                <w:sz w:val="24"/>
              </w:rPr>
            </w:pPr>
          </w:p>
        </w:tc>
        <w:tc>
          <w:tcPr>
            <w:tcW w:w="3256" w:type="dxa"/>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3256" w:type="dxa"/>
            <w:vAlign w:val="top"/>
          </w:tcPr>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全体の売上高</w:t>
            </w:r>
          </w:p>
        </w:tc>
        <w:tc>
          <w:tcPr>
            <w:tcW w:w="3256" w:type="dxa"/>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3256" w:type="dxa"/>
            <w:vAlign w:val="top"/>
          </w:tcPr>
          <w:p>
            <w:pPr>
              <w:pStyle w:val="0"/>
              <w:widowControl w:val="1"/>
              <w:jc w:val="right"/>
              <w:rPr>
                <w:rFonts w:hint="default" w:ascii="ＭＳ ゴシック" w:hAnsi="ＭＳ ゴシック" w:eastAsia="ＭＳ ゴシック"/>
                <w:sz w:val="24"/>
              </w:rPr>
            </w:pP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bl>
    <w:p>
      <w:pPr>
        <w:pStyle w:val="0"/>
        <w:suppressAutoHyphens w:val="1"/>
        <w:kinsoku w:val="0"/>
        <w:wordWrap w:val="0"/>
        <w:autoSpaceDE w:val="0"/>
        <w:autoSpaceDN w:val="0"/>
        <w:spacing w:before="180" w:beforeLines="50" w:beforeAutospacing="0"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before="180" w:beforeLines="50" w:beforeAutospacing="0"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（表２：主たる業種及び企業全体それぞれに係る原油等の仕入単価の上昇）</w:t>
      </w:r>
    </w:p>
    <w:tbl>
      <w:tblPr>
        <w:tblStyle w:val="11"/>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1"/>
        <w:gridCol w:w="2452"/>
        <w:gridCol w:w="2452"/>
        <w:gridCol w:w="2451"/>
      </w:tblGrid>
      <w:tr>
        <w:trPr/>
        <w:tc>
          <w:tcPr>
            <w:tcW w:w="2397" w:type="dxa"/>
            <w:vAlign w:val="top"/>
          </w:tcPr>
          <w:p>
            <w:pPr>
              <w:pStyle w:val="0"/>
              <w:rPr>
                <w:rFonts w:hint="default" w:ascii="ＭＳ ゴシック" w:hAnsi="ＭＳ ゴシック" w:eastAsia="ＭＳ ゴシック"/>
                <w:sz w:val="24"/>
              </w:rPr>
            </w:pPr>
          </w:p>
        </w:tc>
        <w:tc>
          <w:tcPr>
            <w:tcW w:w="2463" w:type="dxa"/>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原油等の最近１か月の平均仕入単価</w:t>
            </w:r>
          </w:p>
        </w:tc>
        <w:tc>
          <w:tcPr>
            <w:tcW w:w="2463" w:type="dxa"/>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原油等の前年同月の平均仕入単価</w:t>
            </w:r>
          </w:p>
        </w:tc>
        <w:tc>
          <w:tcPr>
            <w:tcW w:w="2463" w:type="dxa"/>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原油等の仕入単価の上昇率</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E/</w:t>
            </w:r>
            <w:r>
              <w:rPr>
                <w:rFonts w:hint="eastAsia" w:ascii="ＭＳ ゴシック" w:hAnsi="ＭＳ ゴシック" w:eastAsia="ＭＳ ゴシック"/>
                <w:sz w:val="24"/>
              </w:rPr>
              <w:t>ｅ×</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r>
        <w:trPr/>
        <w:tc>
          <w:tcPr>
            <w:tcW w:w="2397"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主たる業種</w:t>
            </w:r>
          </w:p>
        </w:tc>
        <w:tc>
          <w:tcPr>
            <w:tcW w:w="2463"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円【Ｅ】</w:t>
            </w:r>
          </w:p>
        </w:tc>
        <w:tc>
          <w:tcPr>
            <w:tcW w:w="2463"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円【ｅ】</w:t>
            </w:r>
          </w:p>
        </w:tc>
        <w:tc>
          <w:tcPr>
            <w:tcW w:w="2463"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c>
          <w:tcPr>
            <w:tcW w:w="2397"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全体</w:t>
            </w:r>
          </w:p>
        </w:tc>
        <w:tc>
          <w:tcPr>
            <w:tcW w:w="2463"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円【Ｅ】</w:t>
            </w:r>
          </w:p>
        </w:tc>
        <w:tc>
          <w:tcPr>
            <w:tcW w:w="2463"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円【ｅ】</w:t>
            </w:r>
          </w:p>
        </w:tc>
        <w:tc>
          <w:tcPr>
            <w:tcW w:w="2463"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bl>
    <w:p>
      <w:pPr>
        <w:pStyle w:val="0"/>
        <w:suppressAutoHyphens w:val="1"/>
        <w:kinsoku w:val="0"/>
        <w:wordWrap w:val="0"/>
        <w:autoSpaceDE w:val="0"/>
        <w:autoSpaceDN w:val="0"/>
        <w:spacing w:before="180" w:beforeLines="50" w:beforeAutospacing="0"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before="180" w:beforeLines="50" w:beforeAutospacing="0"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（表３：主たる業種及び全体それぞれの売上原価に占める原油等の仕入価格の割合</w:t>
      </w:r>
      <w:r>
        <w:rPr>
          <w:rFonts w:hint="eastAsia" w:ascii="ＭＳ ゴシック" w:hAnsi="ＭＳ ゴシック" w:eastAsia="ＭＳ ゴシック"/>
          <w:color w:val="000000"/>
          <w:kern w:val="0"/>
          <w:sz w:val="24"/>
        </w:rPr>
        <w:t>）</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62"/>
        <w:gridCol w:w="2260"/>
        <w:gridCol w:w="2766"/>
        <w:gridCol w:w="2698"/>
      </w:tblGrid>
      <w:tr>
        <w:trPr>
          <w:trHeight w:val="1147" w:hRule="atLeast"/>
        </w:trPr>
        <w:tc>
          <w:tcPr>
            <w:tcW w:w="2062" w:type="dxa"/>
            <w:vAlign w:val="top"/>
          </w:tcPr>
          <w:p>
            <w:pPr>
              <w:pStyle w:val="0"/>
              <w:jc w:val="center"/>
              <w:rPr>
                <w:rFonts w:hint="default" w:ascii="ＭＳ ゴシック" w:hAnsi="ＭＳ ゴシック" w:eastAsia="ＭＳ ゴシック"/>
                <w:sz w:val="24"/>
              </w:rPr>
            </w:pPr>
          </w:p>
        </w:tc>
        <w:tc>
          <w:tcPr>
            <w:tcW w:w="2260" w:type="dxa"/>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最新の売上原価</w:t>
            </w:r>
          </w:p>
        </w:tc>
        <w:tc>
          <w:tcPr>
            <w:tcW w:w="2766" w:type="dxa"/>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最新の売上原価に対応する原油等の仕入価格</w:t>
            </w:r>
          </w:p>
        </w:tc>
        <w:tc>
          <w:tcPr>
            <w:tcW w:w="2698" w:type="dxa"/>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売上原価に占める原油等の仕入価格の割合</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S/C</w:t>
            </w: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r>
        <w:trPr>
          <w:trHeight w:val="363" w:hRule="atLeast"/>
        </w:trPr>
        <w:tc>
          <w:tcPr>
            <w:tcW w:w="2062"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主たる業種</w:t>
            </w:r>
          </w:p>
        </w:tc>
        <w:tc>
          <w:tcPr>
            <w:tcW w:w="2260"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円【Ｃ】</w:t>
            </w:r>
          </w:p>
        </w:tc>
        <w:tc>
          <w:tcPr>
            <w:tcW w:w="2766" w:type="dxa"/>
            <w:vAlign w:val="center"/>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円【Ｓ】</w:t>
            </w:r>
          </w:p>
        </w:tc>
        <w:tc>
          <w:tcPr>
            <w:tcW w:w="2698"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r>
        <w:trPr>
          <w:trHeight w:val="363" w:hRule="atLeast"/>
        </w:trPr>
        <w:tc>
          <w:tcPr>
            <w:tcW w:w="2062"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全体</w:t>
            </w:r>
          </w:p>
        </w:tc>
        <w:tc>
          <w:tcPr>
            <w:tcW w:w="2260"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円【Ｃ】</w:t>
            </w:r>
          </w:p>
        </w:tc>
        <w:tc>
          <w:tcPr>
            <w:tcW w:w="2766" w:type="dxa"/>
            <w:vAlign w:val="center"/>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円【Ｓ】</w:t>
            </w:r>
          </w:p>
        </w:tc>
        <w:tc>
          <w:tcPr>
            <w:tcW w:w="2698" w:type="dxa"/>
            <w:vAlign w:val="top"/>
          </w:tcPr>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w:t>
            </w: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2"/>
        </w:rPr>
        <w:t>（注）最新の売上原価及び原油等の仕入価格は、直近の決算期の値でも可。</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before="180" w:beforeLines="50" w:beforeAutospacing="0" w:line="366" w:lineRule="atLeast"/>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sz w:val="24"/>
        </w:rPr>
        <w:t>（表４：</w:t>
      </w:r>
      <w:r>
        <w:rPr>
          <w:rFonts w:hint="eastAsia" w:ascii="ＭＳ ゴシック" w:hAnsi="ＭＳ ゴシック" w:eastAsia="ＭＳ ゴシック"/>
          <w:color w:val="000000"/>
          <w:kern w:val="0"/>
          <w:sz w:val="24"/>
        </w:rPr>
        <w:t>主たる業種及び全体それぞれの製品等価格への転嫁の状況）</w:t>
      </w:r>
    </w:p>
    <w:tbl>
      <w:tblPr>
        <w:tblStyle w:val="11"/>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810"/>
        <w:gridCol w:w="1461"/>
        <w:gridCol w:w="1593"/>
        <w:gridCol w:w="1068"/>
        <w:gridCol w:w="1331"/>
        <w:gridCol w:w="1461"/>
        <w:gridCol w:w="937"/>
        <w:gridCol w:w="1115"/>
      </w:tblGrid>
      <w:tr>
        <w:trPr/>
        <w:tc>
          <w:tcPr>
            <w:tcW w:w="810"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461" w:type="dxa"/>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2"/>
              </w:rPr>
            </w:pPr>
            <w:r>
              <w:rPr>
                <w:rFonts w:hint="eastAsia" w:ascii="ＭＳ ゴシック" w:hAnsi="ＭＳ ゴシック" w:eastAsia="ＭＳ ゴシック"/>
                <w:sz w:val="22"/>
              </w:rPr>
              <w:t>最近３か月間の原油等の仕入価格</w:t>
            </w:r>
          </w:p>
        </w:tc>
        <w:tc>
          <w:tcPr>
            <w:tcW w:w="1593" w:type="dxa"/>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2"/>
              </w:rPr>
            </w:pPr>
            <w:r>
              <w:rPr>
                <w:rFonts w:hint="eastAsia" w:ascii="ＭＳ ゴシック" w:hAnsi="ＭＳ ゴシック" w:eastAsia="ＭＳ ゴシック"/>
                <w:sz w:val="22"/>
              </w:rPr>
              <w:t>最近３か月間の売上高</w:t>
            </w:r>
          </w:p>
        </w:tc>
        <w:tc>
          <w:tcPr>
            <w:tcW w:w="1068" w:type="dxa"/>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A/B</w:t>
            </w:r>
            <w:r>
              <w:rPr>
                <w:rFonts w:hint="eastAsia" w:ascii="ＭＳ ゴシック" w:hAnsi="ＭＳ ゴシック" w:eastAsia="ＭＳ ゴシック"/>
                <w:sz w:val="22"/>
              </w:rPr>
              <w:t>）</w:t>
            </w:r>
          </w:p>
        </w:tc>
        <w:tc>
          <w:tcPr>
            <w:tcW w:w="1331" w:type="dxa"/>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2"/>
              </w:rPr>
            </w:pPr>
            <w:r>
              <w:rPr>
                <w:rFonts w:hint="eastAsia" w:ascii="ＭＳ ゴシック" w:hAnsi="ＭＳ ゴシック" w:eastAsia="ＭＳ ゴシック"/>
                <w:sz w:val="22"/>
              </w:rPr>
              <w:t>前年同期の原油等の仕入価格</w:t>
            </w:r>
          </w:p>
        </w:tc>
        <w:tc>
          <w:tcPr>
            <w:tcW w:w="1461" w:type="dxa"/>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前年同期の</w:t>
            </w:r>
          </w:p>
          <w:p>
            <w:pPr>
              <w:pStyle w:val="0"/>
              <w:suppressAutoHyphens w:val="1"/>
              <w:kinsoku w:val="0"/>
              <w:wordWrap w:val="0"/>
              <w:autoSpaceDE w:val="0"/>
              <w:autoSpaceDN w:val="0"/>
              <w:spacing w:line="366"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売上高</w:t>
            </w:r>
          </w:p>
        </w:tc>
        <w:tc>
          <w:tcPr>
            <w:tcW w:w="937" w:type="dxa"/>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a/b</w:t>
            </w:r>
            <w:r>
              <w:rPr>
                <w:rFonts w:hint="eastAsia" w:ascii="ＭＳ ゴシック" w:hAnsi="ＭＳ ゴシック" w:eastAsia="ＭＳ ゴシック"/>
                <w:sz w:val="22"/>
              </w:rPr>
              <w:t>）</w:t>
            </w:r>
          </w:p>
        </w:tc>
        <w:tc>
          <w:tcPr>
            <w:tcW w:w="1115" w:type="dxa"/>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A/B</w:t>
            </w:r>
            <w:r>
              <w:rPr>
                <w:rFonts w:hint="eastAsia" w:ascii="ＭＳ ゴシック" w:hAnsi="ＭＳ ゴシック" w:eastAsia="ＭＳ ゴシック"/>
                <w:sz w:val="22"/>
              </w:rPr>
              <w:t>）－（</w:t>
            </w:r>
            <w:r>
              <w:rPr>
                <w:rFonts w:hint="eastAsia" w:ascii="ＭＳ ゴシック" w:hAnsi="ＭＳ ゴシック" w:eastAsia="ＭＳ ゴシック"/>
                <w:sz w:val="22"/>
              </w:rPr>
              <w:t>a/b</w:t>
            </w:r>
            <w:r>
              <w:rPr>
                <w:rFonts w:hint="eastAsia" w:ascii="ＭＳ ゴシック" w:hAnsi="ＭＳ ゴシック" w:eastAsia="ＭＳ ゴシック"/>
                <w:sz w:val="22"/>
              </w:rPr>
              <w:t>）＝Ｐ</w:t>
            </w:r>
          </w:p>
        </w:tc>
      </w:tr>
      <w:tr>
        <w:trPr/>
        <w:tc>
          <w:tcPr>
            <w:tcW w:w="810" w:type="dxa"/>
            <w:vAlign w:val="top"/>
          </w:tcPr>
          <w:p>
            <w:pPr>
              <w:pStyle w:val="0"/>
              <w:suppressAutoHyphens w:val="1"/>
              <w:kinsoku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主たる</w:t>
            </w:r>
          </w:p>
          <w:p>
            <w:pPr>
              <w:pStyle w:val="0"/>
              <w:suppressAutoHyphens w:val="1"/>
              <w:kinsoku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業種</w:t>
            </w:r>
          </w:p>
        </w:tc>
        <w:tc>
          <w:tcPr>
            <w:tcW w:w="1461"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A</w:t>
            </w:r>
            <w:r>
              <w:rPr>
                <w:rFonts w:hint="eastAsia" w:ascii="ＭＳ ゴシック" w:hAnsi="ＭＳ ゴシック" w:eastAsia="ＭＳ ゴシック"/>
                <w:sz w:val="24"/>
              </w:rPr>
              <w:t>】</w:t>
            </w:r>
          </w:p>
        </w:tc>
        <w:tc>
          <w:tcPr>
            <w:tcW w:w="1593"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B</w:t>
            </w:r>
            <w:r>
              <w:rPr>
                <w:rFonts w:hint="eastAsia" w:ascii="ＭＳ ゴシック" w:hAnsi="ＭＳ ゴシック" w:eastAsia="ＭＳ ゴシック"/>
                <w:sz w:val="24"/>
              </w:rPr>
              <w:t>】</w:t>
            </w:r>
          </w:p>
        </w:tc>
        <w:tc>
          <w:tcPr>
            <w:tcW w:w="1068"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p>
        </w:tc>
        <w:tc>
          <w:tcPr>
            <w:tcW w:w="1331"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a</w:t>
            </w:r>
            <w:r>
              <w:rPr>
                <w:rFonts w:hint="eastAsia" w:ascii="ＭＳ ゴシック" w:hAnsi="ＭＳ ゴシック" w:eastAsia="ＭＳ ゴシック"/>
                <w:sz w:val="24"/>
              </w:rPr>
              <w:t>】</w:t>
            </w:r>
          </w:p>
        </w:tc>
        <w:tc>
          <w:tcPr>
            <w:tcW w:w="1461"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b</w:t>
            </w:r>
            <w:r>
              <w:rPr>
                <w:rFonts w:hint="eastAsia" w:ascii="ＭＳ ゴシック" w:hAnsi="ＭＳ ゴシック" w:eastAsia="ＭＳ ゴシック"/>
                <w:sz w:val="24"/>
              </w:rPr>
              <w:t>】</w:t>
            </w:r>
          </w:p>
        </w:tc>
        <w:tc>
          <w:tcPr>
            <w:tcW w:w="937"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p>
        </w:tc>
        <w:tc>
          <w:tcPr>
            <w:tcW w:w="1115"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p>
        </w:tc>
      </w:tr>
      <w:tr>
        <w:trPr/>
        <w:tc>
          <w:tcPr>
            <w:tcW w:w="810"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全体</w:t>
            </w:r>
          </w:p>
        </w:tc>
        <w:tc>
          <w:tcPr>
            <w:tcW w:w="1461"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A</w:t>
            </w:r>
            <w:r>
              <w:rPr>
                <w:rFonts w:hint="eastAsia" w:ascii="ＭＳ ゴシック" w:hAnsi="ＭＳ ゴシック" w:eastAsia="ＭＳ ゴシック"/>
                <w:sz w:val="24"/>
              </w:rPr>
              <w:t>】</w:t>
            </w:r>
          </w:p>
        </w:tc>
        <w:tc>
          <w:tcPr>
            <w:tcW w:w="1593"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B</w:t>
            </w:r>
            <w:r>
              <w:rPr>
                <w:rFonts w:hint="eastAsia" w:ascii="ＭＳ ゴシック" w:hAnsi="ＭＳ ゴシック" w:eastAsia="ＭＳ ゴシック"/>
                <w:sz w:val="24"/>
              </w:rPr>
              <w:t>】</w:t>
            </w:r>
          </w:p>
        </w:tc>
        <w:tc>
          <w:tcPr>
            <w:tcW w:w="1068"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p>
        </w:tc>
        <w:tc>
          <w:tcPr>
            <w:tcW w:w="1331"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a</w:t>
            </w:r>
            <w:r>
              <w:rPr>
                <w:rFonts w:hint="eastAsia" w:ascii="ＭＳ ゴシック" w:hAnsi="ＭＳ ゴシック" w:eastAsia="ＭＳ ゴシック"/>
                <w:sz w:val="24"/>
              </w:rPr>
              <w:t>】</w:t>
            </w:r>
          </w:p>
        </w:tc>
        <w:tc>
          <w:tcPr>
            <w:tcW w:w="1461"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b</w:t>
            </w:r>
            <w:r>
              <w:rPr>
                <w:rFonts w:hint="eastAsia" w:ascii="ＭＳ ゴシック" w:hAnsi="ＭＳ ゴシック" w:eastAsia="ＭＳ ゴシック"/>
                <w:sz w:val="24"/>
              </w:rPr>
              <w:t>】</w:t>
            </w:r>
          </w:p>
        </w:tc>
        <w:tc>
          <w:tcPr>
            <w:tcW w:w="937"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p>
        </w:tc>
        <w:tc>
          <w:tcPr>
            <w:tcW w:w="1115" w:type="dxa"/>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p>
        </w:tc>
      </w:tr>
    </w:tbl>
    <w:p>
      <w:pPr>
        <w:pStyle w:val="0"/>
        <w:widowControl w:val="1"/>
        <w:ind w:left="701" w:hanging="701" w:hangingChars="292"/>
        <w:jc w:val="lef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2"/>
        </w:rPr>
        <w:t>注）</w:t>
      </w:r>
      <w:r>
        <w:rPr>
          <w:rFonts w:hint="eastAsia" w:ascii="ＭＳ ゴシック" w:hAnsi="ＭＳ ゴシック" w:eastAsia="ＭＳ ゴシック"/>
          <w:color w:val="auto"/>
          <w:sz w:val="22"/>
        </w:rPr>
        <w:t>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sectPr>
      <w:pgSz w:w="11906" w:h="16838"/>
      <w:pgMar w:top="851" w:right="1080" w:bottom="709"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8" w:lineRule="exact"/>
      <w:jc w:val="both"/>
    </w:pPr>
    <w:rPr>
      <w:rFonts w:ascii="Times New Roman" w:hAnsi="Times New Roman" w:eastAsia="ＭＳ 明朝"/>
      <w:spacing w:val="13"/>
      <w:kern w:val="0"/>
      <w:sz w:val="22"/>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26</Words>
  <Characters>1528</Characters>
  <Application>JUST Note</Application>
  <Lines>164</Lines>
  <Paragraphs>120</Paragraphs>
  <CharactersWithSpaces>2433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髙成田　一彦</dc:creator>
  <cp:lastModifiedBy>古内 諒</cp:lastModifiedBy>
  <dcterms:created xsi:type="dcterms:W3CDTF">2020-04-23T02:35:00Z</dcterms:created>
  <dcterms:modified xsi:type="dcterms:W3CDTF">2022-09-26T07:20:42Z</dcterms:modified>
  <cp:revision>7</cp:revision>
</cp:coreProperties>
</file>