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調査・設計及び施工監理に関する提案書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設計等について、次の内容を記載すること。</w:t>
      </w:r>
    </w:p>
    <w:p>
      <w:pPr>
        <w:pStyle w:val="0"/>
        <w:ind w:left="506" w:leftChars="100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１　調査・設計の手法及び安全対策について記載</w:t>
      </w:r>
    </w:p>
    <w:p>
      <w:pPr>
        <w:pStyle w:val="0"/>
        <w:ind w:left="506" w:leftChars="100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２　施工監理の方法及び体制を明確に記載</w:t>
      </w:r>
    </w:p>
    <w:p>
      <w:pPr>
        <w:pStyle w:val="0"/>
        <w:ind w:left="506" w:leftChars="100" w:hanging="243" w:hangingChars="100"/>
        <w:rPr>
          <w:rFonts w:hint="default"/>
          <w:sz w:val="20"/>
        </w:rPr>
      </w:pPr>
      <w:r>
        <w:rPr>
          <w:rFonts w:hint="eastAsia"/>
          <w:sz w:val="24"/>
        </w:rPr>
        <w:t>３　その他設計等に関し創意工夫している点</w:t>
      </w: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rFonts w:hint="default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rFonts w:hint="default"/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３</w:t>
      </w:r>
      <w:r>
        <w:rPr>
          <w:rFonts w:hint="default"/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rFonts w:hint="default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rFonts w:hint="default"/>
          <w:color w:val="000000" w:themeColor="text1"/>
          <w:sz w:val="24"/>
        </w:rPr>
        <w:t>）</w:t>
      </w: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118</Characters>
  <Application>JUST Note</Application>
  <Lines>37</Lines>
  <Paragraphs>7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created xsi:type="dcterms:W3CDTF">2024-04-24T11:45:00Z</dcterms:created>
  <dcterms:modified xsi:type="dcterms:W3CDTF">2025-05-10T04:12:35Z</dcterms:modified>
  <cp:revision>2</cp:revision>
</cp:coreProperties>
</file>